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40EE" w14:textId="50965950" w:rsidR="00215CA5" w:rsidRPr="0023044E" w:rsidRDefault="00D87D37" w:rsidP="00215CA5">
      <w:pPr>
        <w:pBdr>
          <w:bottom w:val="single" w:sz="4" w:space="1" w:color="auto"/>
        </w:pBdr>
        <w:jc w:val="both"/>
        <w:rPr>
          <w:b/>
          <w:bCs/>
          <w:sz w:val="24"/>
          <w:szCs w:val="24"/>
        </w:rPr>
      </w:pPr>
      <w:r w:rsidRPr="0023044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E5A197" wp14:editId="32ED2BC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32460" cy="523875"/>
            <wp:effectExtent l="0" t="0" r="0" b="9525"/>
            <wp:wrapTight wrapText="bothSides">
              <wp:wrapPolygon edited="1">
                <wp:start x="16615" y="0"/>
                <wp:lineTo x="14242" y="0"/>
                <wp:lineTo x="0" y="8028"/>
                <wp:lineTo x="0" y="9749"/>
                <wp:lineTo x="6646" y="18350"/>
                <wp:lineTo x="7121" y="21218"/>
                <wp:lineTo x="15666" y="21218"/>
                <wp:lineTo x="22312" y="19497"/>
                <wp:lineTo x="23737" y="15101"/>
                <wp:lineTo x="23895" y="11851"/>
                <wp:lineTo x="23578" y="2676"/>
                <wp:lineTo x="19464" y="0"/>
                <wp:lineTo x="16615" y="0"/>
              </wp:wrapPolygon>
            </wp:wrapTight>
            <wp:docPr id="11351547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54771" name="Image 113515477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6"/>
                    <a:stretch/>
                  </pic:blipFill>
                  <pic:spPr bwMode="auto">
                    <a:xfrm>
                      <a:off x="0" y="0"/>
                      <a:ext cx="63246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44E" w:rsidRPr="0023044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EA95" wp14:editId="02A0F570">
                <wp:simplePos x="0" y="0"/>
                <wp:positionH relativeFrom="margin">
                  <wp:posOffset>0</wp:posOffset>
                </wp:positionH>
                <wp:positionV relativeFrom="paragraph">
                  <wp:posOffset>-156845</wp:posOffset>
                </wp:positionV>
                <wp:extent cx="771525" cy="723900"/>
                <wp:effectExtent l="95250" t="57150" r="47625" b="76200"/>
                <wp:wrapNone/>
                <wp:docPr id="94247751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239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329AA" id="Ellipse 2" o:spid="_x0000_s1026" style="position:absolute;margin-left:0;margin-top:-12.35pt;width:6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" filled="f" strokecolor="#cfcdcd [2894]" strokeweight=".25pt">
                <v:stroke joinstyle="miter"/>
                <v:shadow on="t" color="black" opacity="26214f" origin=".5" offset="-3pt,0"/>
                <w10:wrap anchorx="margin"/>
              </v:oval>
            </w:pict>
          </mc:Fallback>
        </mc:AlternateContent>
      </w:r>
      <w:r w:rsidR="00215CA5" w:rsidRPr="0023044E">
        <w:rPr>
          <w:b/>
          <w:bCs/>
          <w:sz w:val="24"/>
          <w:szCs w:val="24"/>
        </w:rPr>
        <w:t xml:space="preserve">MODÈLE DE DÉLIBÉRATION POUR VALIDER L’EMPLACEMENT </w:t>
      </w:r>
      <w:r w:rsidR="0023044E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ES</w:t>
      </w:r>
      <w:r w:rsidR="0023044E">
        <w:rPr>
          <w:b/>
          <w:bCs/>
          <w:sz w:val="24"/>
          <w:szCs w:val="24"/>
        </w:rPr>
        <w:t xml:space="preserve"> POINT</w:t>
      </w:r>
      <w:r>
        <w:rPr>
          <w:b/>
          <w:bCs/>
          <w:sz w:val="24"/>
          <w:szCs w:val="24"/>
        </w:rPr>
        <w:t>S</w:t>
      </w:r>
      <w:r w:rsidR="0023044E">
        <w:rPr>
          <w:b/>
          <w:bCs/>
          <w:sz w:val="24"/>
          <w:szCs w:val="24"/>
        </w:rPr>
        <w:t xml:space="preserve"> DE</w:t>
      </w:r>
      <w:r w:rsidR="00215CA5" w:rsidRPr="0023044E">
        <w:rPr>
          <w:b/>
          <w:bCs/>
          <w:sz w:val="24"/>
          <w:szCs w:val="24"/>
        </w:rPr>
        <w:t xml:space="preserve"> </w:t>
      </w:r>
      <w:r w:rsidR="00295AF6" w:rsidRPr="0023044E">
        <w:rPr>
          <w:b/>
          <w:bCs/>
          <w:sz w:val="24"/>
          <w:szCs w:val="24"/>
        </w:rPr>
        <w:t xml:space="preserve">TRI </w:t>
      </w:r>
      <w:r w:rsidR="00215CA5" w:rsidRPr="0023044E">
        <w:rPr>
          <w:b/>
          <w:bCs/>
          <w:sz w:val="24"/>
          <w:szCs w:val="24"/>
        </w:rPr>
        <w:t>SUR LES COMMUNES</w:t>
      </w:r>
    </w:p>
    <w:p w14:paraId="4EE645E6" w14:textId="77777777" w:rsidR="00215CA5" w:rsidRDefault="00215CA5" w:rsidP="00215CA5">
      <w:pPr>
        <w:jc w:val="both"/>
      </w:pPr>
    </w:p>
    <w:p w14:paraId="65B19A6F" w14:textId="37A6D30E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C</w:t>
      </w:r>
      <w:r w:rsidR="00F91446">
        <w:rPr>
          <w:sz w:val="20"/>
          <w:szCs w:val="20"/>
        </w:rPr>
        <w:t>ONSIDÉRANT</w:t>
      </w:r>
      <w:r w:rsidRPr="00215CA5">
        <w:rPr>
          <w:sz w:val="20"/>
          <w:szCs w:val="20"/>
        </w:rPr>
        <w:t xml:space="preserve"> que le Comité syndical du SIDEL a décidé</w:t>
      </w:r>
      <w:r w:rsidR="00CE383B">
        <w:rPr>
          <w:sz w:val="20"/>
          <w:szCs w:val="20"/>
        </w:rPr>
        <w:t>,</w:t>
      </w:r>
      <w:r w:rsidRPr="00215CA5">
        <w:rPr>
          <w:sz w:val="20"/>
          <w:szCs w:val="20"/>
        </w:rPr>
        <w:t xml:space="preserve"> en date du 15 Février 2022, du déploiement de la tarification incitative et </w:t>
      </w:r>
      <w:r w:rsidR="00E50B39">
        <w:rPr>
          <w:sz w:val="20"/>
          <w:szCs w:val="20"/>
        </w:rPr>
        <w:t xml:space="preserve">de </w:t>
      </w:r>
      <w:r w:rsidRPr="00215CA5">
        <w:rPr>
          <w:sz w:val="20"/>
          <w:szCs w:val="20"/>
        </w:rPr>
        <w:t>la modernisation du service public de collecte de déchets ménagers</w:t>
      </w:r>
      <w:r w:rsidR="00E50B39">
        <w:rPr>
          <w:sz w:val="20"/>
          <w:szCs w:val="20"/>
        </w:rPr>
        <w:t>,</w:t>
      </w:r>
    </w:p>
    <w:p w14:paraId="3603E883" w14:textId="7CA39ED7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C</w:t>
      </w:r>
      <w:r w:rsidR="00F91446">
        <w:rPr>
          <w:sz w:val="20"/>
          <w:szCs w:val="20"/>
        </w:rPr>
        <w:t>ONSIDÉRANT</w:t>
      </w:r>
      <w:r w:rsidRPr="00215CA5">
        <w:rPr>
          <w:sz w:val="20"/>
          <w:szCs w:val="20"/>
        </w:rPr>
        <w:t xml:space="preserve"> que le Comité syndical du SIDEL s’est prononcé</w:t>
      </w:r>
      <w:r w:rsidR="00CE383B">
        <w:rPr>
          <w:sz w:val="20"/>
          <w:szCs w:val="20"/>
        </w:rPr>
        <w:t>,</w:t>
      </w:r>
      <w:r w:rsidRPr="00215CA5">
        <w:rPr>
          <w:sz w:val="20"/>
          <w:szCs w:val="20"/>
        </w:rPr>
        <w:t> en date du 15 Février 2022, en faveur d’une collecte réalisée entièrement en points</w:t>
      </w:r>
      <w:r w:rsidR="0023044E">
        <w:rPr>
          <w:sz w:val="20"/>
          <w:szCs w:val="20"/>
        </w:rPr>
        <w:t xml:space="preserve"> de</w:t>
      </w:r>
      <w:r w:rsidRPr="00215CA5">
        <w:rPr>
          <w:sz w:val="20"/>
          <w:szCs w:val="20"/>
        </w:rPr>
        <w:t xml:space="preserve"> </w:t>
      </w:r>
      <w:r w:rsidR="00295AF6">
        <w:rPr>
          <w:sz w:val="20"/>
          <w:szCs w:val="20"/>
        </w:rPr>
        <w:t>TRI</w:t>
      </w:r>
      <w:r w:rsidRPr="00215CA5">
        <w:rPr>
          <w:sz w:val="20"/>
          <w:szCs w:val="20"/>
        </w:rPr>
        <w:t xml:space="preserve"> </w:t>
      </w:r>
      <w:r w:rsidR="00E50B39">
        <w:rPr>
          <w:sz w:val="20"/>
          <w:szCs w:val="20"/>
        </w:rPr>
        <w:t>des</w:t>
      </w:r>
      <w:r w:rsidRPr="00215CA5">
        <w:rPr>
          <w:sz w:val="20"/>
          <w:szCs w:val="20"/>
        </w:rPr>
        <w:t xml:space="preserve"> 3 flux suivants :</w:t>
      </w:r>
    </w:p>
    <w:p w14:paraId="4EFBB9FD" w14:textId="77777777" w:rsidR="00215CA5" w:rsidRPr="00215CA5" w:rsidRDefault="00215CA5" w:rsidP="00CE383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5CA5">
        <w:rPr>
          <w:sz w:val="20"/>
          <w:szCs w:val="20"/>
        </w:rPr>
        <w:t xml:space="preserve">Ordures ménagères, </w:t>
      </w:r>
    </w:p>
    <w:p w14:paraId="2A1AF4EE" w14:textId="77777777" w:rsidR="00215CA5" w:rsidRPr="00215CA5" w:rsidRDefault="00215CA5" w:rsidP="00CE383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5CA5">
        <w:rPr>
          <w:sz w:val="20"/>
          <w:szCs w:val="20"/>
        </w:rPr>
        <w:t>Emballages en plastique, métal, carton et le papier,</w:t>
      </w:r>
    </w:p>
    <w:p w14:paraId="2DE08334" w14:textId="775FCEAD" w:rsidR="00215CA5" w:rsidRDefault="00215CA5" w:rsidP="00CE383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5CA5">
        <w:rPr>
          <w:sz w:val="20"/>
          <w:szCs w:val="20"/>
        </w:rPr>
        <w:t xml:space="preserve">Emballages en verre. </w:t>
      </w:r>
    </w:p>
    <w:p w14:paraId="1B15A5B7" w14:textId="77777777" w:rsidR="00CE383B" w:rsidRPr="00215CA5" w:rsidRDefault="00CE383B" w:rsidP="00CE383B">
      <w:pPr>
        <w:spacing w:after="0"/>
        <w:ind w:left="720"/>
        <w:jc w:val="both"/>
        <w:rPr>
          <w:sz w:val="20"/>
          <w:szCs w:val="20"/>
        </w:rPr>
      </w:pPr>
    </w:p>
    <w:p w14:paraId="0063BBA2" w14:textId="30111B40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 xml:space="preserve">VU la délibération du SIDEL en date du 13 Juin </w:t>
      </w:r>
      <w:r w:rsidR="00CE383B" w:rsidRPr="00215CA5">
        <w:rPr>
          <w:sz w:val="20"/>
          <w:szCs w:val="20"/>
        </w:rPr>
        <w:t>2023 approuvant</w:t>
      </w:r>
      <w:r w:rsidRPr="00215CA5">
        <w:rPr>
          <w:sz w:val="20"/>
          <w:szCs w:val="20"/>
        </w:rPr>
        <w:t xml:space="preserve"> :</w:t>
      </w:r>
    </w:p>
    <w:p w14:paraId="0D21EA88" w14:textId="7365C263" w:rsidR="00215CA5" w:rsidRPr="00215CA5" w:rsidRDefault="00215CA5" w:rsidP="00215CA5">
      <w:pPr>
        <w:numPr>
          <w:ilvl w:val="0"/>
          <w:numId w:val="2"/>
        </w:numPr>
        <w:jc w:val="both"/>
        <w:rPr>
          <w:sz w:val="20"/>
          <w:szCs w:val="20"/>
        </w:rPr>
      </w:pPr>
      <w:r w:rsidRPr="00215CA5">
        <w:rPr>
          <w:b/>
          <w:bCs/>
          <w:sz w:val="20"/>
          <w:szCs w:val="20"/>
        </w:rPr>
        <w:t>En zones non contraintes</w:t>
      </w:r>
      <w:r w:rsidRPr="00215CA5">
        <w:rPr>
          <w:sz w:val="20"/>
          <w:szCs w:val="20"/>
        </w:rPr>
        <w:t> : l’installation sur parcelle communale de colonnes semi-enterrées OM, de colonnes semi-enterrées TRI et de colonnes aériennes VERRE sans contrepartie financière sur le territoire des Communes de plus de 50 habitants</w:t>
      </w:r>
      <w:r w:rsidR="00F91446">
        <w:rPr>
          <w:sz w:val="20"/>
          <w:szCs w:val="20"/>
        </w:rPr>
        <w:t>,</w:t>
      </w:r>
    </w:p>
    <w:p w14:paraId="692F0B1E" w14:textId="73EE91EE" w:rsidR="00215CA5" w:rsidRPr="00215CA5" w:rsidRDefault="00215CA5" w:rsidP="00215CA5">
      <w:pPr>
        <w:numPr>
          <w:ilvl w:val="0"/>
          <w:numId w:val="2"/>
        </w:numPr>
        <w:jc w:val="both"/>
        <w:rPr>
          <w:sz w:val="20"/>
          <w:szCs w:val="20"/>
        </w:rPr>
      </w:pPr>
      <w:r w:rsidRPr="00215CA5">
        <w:rPr>
          <w:b/>
          <w:bCs/>
          <w:sz w:val="20"/>
          <w:szCs w:val="20"/>
        </w:rPr>
        <w:t>En zones contraintes</w:t>
      </w:r>
      <w:r w:rsidRPr="00215CA5">
        <w:rPr>
          <w:sz w:val="20"/>
          <w:szCs w:val="20"/>
        </w:rPr>
        <w:t> : l’installation sur parcelle communale de colonnes enterrées OM, de colonnes enterrées TRI et de colonnes aériennes VERRE sans contrepartie financière sur le territoire des Communes de plus de 50 habitants</w:t>
      </w:r>
      <w:r w:rsidR="00F91446">
        <w:rPr>
          <w:sz w:val="20"/>
          <w:szCs w:val="20"/>
        </w:rPr>
        <w:t>,</w:t>
      </w:r>
    </w:p>
    <w:p w14:paraId="4CCA7074" w14:textId="4AF6D190" w:rsidR="00215CA5" w:rsidRPr="00215CA5" w:rsidRDefault="00215CA5" w:rsidP="00215CA5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215CA5">
        <w:rPr>
          <w:sz w:val="20"/>
          <w:szCs w:val="20"/>
        </w:rPr>
        <w:t xml:space="preserve">La participation des communes à hauteur du montant </w:t>
      </w:r>
      <w:r w:rsidR="00D836A2">
        <w:rPr>
          <w:sz w:val="20"/>
          <w:szCs w:val="20"/>
        </w:rPr>
        <w:t>HT</w:t>
      </w:r>
      <w:r w:rsidRPr="00215CA5">
        <w:rPr>
          <w:sz w:val="20"/>
          <w:szCs w:val="20"/>
        </w:rPr>
        <w:t xml:space="preserve"> du surcoût généré pour implanter du matériel non prévu dans la dotation de base du SIDEL</w:t>
      </w:r>
      <w:r w:rsidR="00F91446">
        <w:rPr>
          <w:sz w:val="20"/>
          <w:szCs w:val="20"/>
        </w:rPr>
        <w:t>,</w:t>
      </w:r>
      <w:r w:rsidRPr="00215CA5">
        <w:rPr>
          <w:sz w:val="20"/>
          <w:szCs w:val="20"/>
        </w:rPr>
        <w:t xml:space="preserve"> </w:t>
      </w:r>
    </w:p>
    <w:p w14:paraId="0D48F8A5" w14:textId="09511D7A" w:rsidR="00215CA5" w:rsidRPr="00215CA5" w:rsidRDefault="00215CA5" w:rsidP="00215CA5">
      <w:pPr>
        <w:numPr>
          <w:ilvl w:val="0"/>
          <w:numId w:val="2"/>
        </w:numPr>
        <w:jc w:val="both"/>
        <w:rPr>
          <w:sz w:val="20"/>
          <w:szCs w:val="20"/>
        </w:rPr>
      </w:pPr>
      <w:r w:rsidRPr="00215CA5">
        <w:rPr>
          <w:sz w:val="20"/>
          <w:szCs w:val="20"/>
        </w:rPr>
        <w:t xml:space="preserve">La remise en état </w:t>
      </w:r>
      <w:r w:rsidR="00FC3961">
        <w:rPr>
          <w:sz w:val="20"/>
          <w:szCs w:val="20"/>
        </w:rPr>
        <w:t xml:space="preserve">par le SIDEL </w:t>
      </w:r>
      <w:r w:rsidRPr="00215CA5">
        <w:rPr>
          <w:sz w:val="20"/>
          <w:szCs w:val="20"/>
        </w:rPr>
        <w:t>des abords immédiats des colonnes implantées</w:t>
      </w:r>
      <w:r w:rsidR="00F91446">
        <w:rPr>
          <w:sz w:val="20"/>
          <w:szCs w:val="20"/>
        </w:rPr>
        <w:t>.</w:t>
      </w:r>
    </w:p>
    <w:p w14:paraId="50A50EF2" w14:textId="09114D6C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CONSIDERANT qu’après concertation avec le SIDEL et</w:t>
      </w:r>
      <w:r w:rsidR="00295AF6">
        <w:rPr>
          <w:sz w:val="20"/>
          <w:szCs w:val="20"/>
        </w:rPr>
        <w:t>, le cas échéant,</w:t>
      </w:r>
      <w:r w:rsidRPr="00215CA5">
        <w:rPr>
          <w:sz w:val="20"/>
          <w:szCs w:val="20"/>
        </w:rPr>
        <w:t xml:space="preserve"> non opposition aux déclarations préalables, il est proposé l’implantation d</w:t>
      </w:r>
      <w:r w:rsidR="00D87D37">
        <w:rPr>
          <w:sz w:val="20"/>
          <w:szCs w:val="20"/>
        </w:rPr>
        <w:t>es</w:t>
      </w:r>
      <w:r w:rsidRPr="00215CA5">
        <w:rPr>
          <w:sz w:val="20"/>
          <w:szCs w:val="20"/>
        </w:rPr>
        <w:t xml:space="preserve"> point</w:t>
      </w:r>
      <w:r w:rsidR="00D87D37">
        <w:rPr>
          <w:sz w:val="20"/>
          <w:szCs w:val="20"/>
        </w:rPr>
        <w:t>s</w:t>
      </w:r>
      <w:r w:rsidR="0023044E">
        <w:rPr>
          <w:sz w:val="20"/>
          <w:szCs w:val="20"/>
        </w:rPr>
        <w:t xml:space="preserve"> de</w:t>
      </w:r>
      <w:r w:rsidRPr="00215CA5">
        <w:rPr>
          <w:sz w:val="20"/>
          <w:szCs w:val="20"/>
        </w:rPr>
        <w:t xml:space="preserve"> </w:t>
      </w:r>
      <w:r w:rsidR="00295AF6">
        <w:rPr>
          <w:sz w:val="20"/>
          <w:szCs w:val="20"/>
        </w:rPr>
        <w:t>TRI</w:t>
      </w:r>
      <w:r w:rsidRPr="00215CA5">
        <w:rPr>
          <w:sz w:val="20"/>
          <w:szCs w:val="20"/>
        </w:rPr>
        <w:t xml:space="preserve"> sur l</w:t>
      </w:r>
      <w:r w:rsidR="00D87D37">
        <w:rPr>
          <w:sz w:val="20"/>
          <w:szCs w:val="20"/>
        </w:rPr>
        <w:t>es</w:t>
      </w:r>
      <w:r w:rsidRPr="00215CA5">
        <w:rPr>
          <w:sz w:val="20"/>
          <w:szCs w:val="20"/>
        </w:rPr>
        <w:t xml:space="preserve"> parcelle</w:t>
      </w:r>
      <w:r w:rsidR="00D87D37">
        <w:rPr>
          <w:sz w:val="20"/>
          <w:szCs w:val="20"/>
        </w:rPr>
        <w:t>s</w:t>
      </w:r>
      <w:r w:rsidRPr="00215CA5">
        <w:rPr>
          <w:sz w:val="20"/>
          <w:szCs w:val="20"/>
        </w:rPr>
        <w:t xml:space="preserve"> communale</w:t>
      </w:r>
      <w:r w:rsidR="00D87D37">
        <w:rPr>
          <w:sz w:val="20"/>
          <w:szCs w:val="20"/>
        </w:rPr>
        <w:t>s</w:t>
      </w:r>
      <w:r w:rsidRPr="00215CA5">
        <w:rPr>
          <w:sz w:val="20"/>
          <w:szCs w:val="20"/>
        </w:rPr>
        <w:t xml:space="preserve"> suivante</w:t>
      </w:r>
      <w:r w:rsidR="00D87D37">
        <w:rPr>
          <w:sz w:val="20"/>
          <w:szCs w:val="20"/>
        </w:rPr>
        <w:t>s</w:t>
      </w:r>
      <w:r w:rsidRPr="00215CA5">
        <w:rPr>
          <w:sz w:val="20"/>
          <w:szCs w:val="20"/>
        </w:rPr>
        <w:t> :</w:t>
      </w:r>
    </w:p>
    <w:p w14:paraId="64826D30" w14:textId="22CE66B7" w:rsid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 xml:space="preserve">- </w:t>
      </w:r>
      <w:r>
        <w:rPr>
          <w:sz w:val="20"/>
          <w:szCs w:val="20"/>
        </w:rPr>
        <w:t>XXX</w:t>
      </w:r>
    </w:p>
    <w:p w14:paraId="141118C5" w14:textId="1D9A5C57" w:rsidR="00D87D37" w:rsidRDefault="00D87D37" w:rsidP="00215CA5">
      <w:pPr>
        <w:jc w:val="both"/>
        <w:rPr>
          <w:sz w:val="20"/>
          <w:szCs w:val="20"/>
        </w:rPr>
      </w:pPr>
      <w:r>
        <w:rPr>
          <w:sz w:val="20"/>
          <w:szCs w:val="20"/>
        </w:rPr>
        <w:t>- XXXX</w:t>
      </w:r>
    </w:p>
    <w:p w14:paraId="7AA3C983" w14:textId="440C898F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CONSID</w:t>
      </w:r>
      <w:r w:rsidR="00F91446">
        <w:rPr>
          <w:sz w:val="20"/>
          <w:szCs w:val="20"/>
        </w:rPr>
        <w:t>É</w:t>
      </w:r>
      <w:r w:rsidRPr="00215CA5">
        <w:rPr>
          <w:sz w:val="20"/>
          <w:szCs w:val="20"/>
        </w:rPr>
        <w:t xml:space="preserve">RANT que le choix de l’emplacement engage la Commune à maintenir la localisation de chaque point </w:t>
      </w:r>
      <w:r w:rsidR="0023044E">
        <w:rPr>
          <w:sz w:val="20"/>
          <w:szCs w:val="20"/>
        </w:rPr>
        <w:t xml:space="preserve">de </w:t>
      </w:r>
      <w:r w:rsidR="00295AF6">
        <w:rPr>
          <w:sz w:val="20"/>
          <w:szCs w:val="20"/>
        </w:rPr>
        <w:t>TRI</w:t>
      </w:r>
      <w:r w:rsidRPr="00215CA5">
        <w:rPr>
          <w:sz w:val="20"/>
          <w:szCs w:val="20"/>
        </w:rPr>
        <w:t xml:space="preserve"> sauf cas de force majeure </w:t>
      </w:r>
      <w:r>
        <w:rPr>
          <w:rStyle w:val="Appeldenotedefin"/>
          <w:sz w:val="20"/>
          <w:szCs w:val="20"/>
        </w:rPr>
        <w:endnoteReference w:id="1"/>
      </w:r>
      <w:r>
        <w:rPr>
          <w:sz w:val="20"/>
          <w:szCs w:val="20"/>
        </w:rPr>
        <w:t xml:space="preserve"> </w:t>
      </w:r>
      <w:r w:rsidRPr="00215CA5">
        <w:rPr>
          <w:sz w:val="20"/>
          <w:szCs w:val="20"/>
        </w:rPr>
        <w:t xml:space="preserve">de nature à rendre impossible l’exercice du service public de collecte des déchets ménagers, </w:t>
      </w:r>
    </w:p>
    <w:p w14:paraId="7876A930" w14:textId="51C618F0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CONSID</w:t>
      </w:r>
      <w:r w:rsidR="00F91446">
        <w:rPr>
          <w:sz w:val="20"/>
          <w:szCs w:val="20"/>
        </w:rPr>
        <w:t>É</w:t>
      </w:r>
      <w:r w:rsidRPr="00215CA5">
        <w:rPr>
          <w:sz w:val="20"/>
          <w:szCs w:val="20"/>
        </w:rPr>
        <w:t xml:space="preserve">RANT qu’en cas de demande de la Commune de modifier l’emplacement du point </w:t>
      </w:r>
      <w:r w:rsidR="0023044E">
        <w:rPr>
          <w:sz w:val="20"/>
          <w:szCs w:val="20"/>
        </w:rPr>
        <w:t xml:space="preserve">de </w:t>
      </w:r>
      <w:r w:rsidR="00295AF6">
        <w:rPr>
          <w:sz w:val="20"/>
          <w:szCs w:val="20"/>
        </w:rPr>
        <w:t>TRI</w:t>
      </w:r>
      <w:r w:rsidRPr="00215CA5">
        <w:rPr>
          <w:sz w:val="20"/>
          <w:szCs w:val="20"/>
        </w:rPr>
        <w:t xml:space="preserve"> validé par la présente délibération, la totalité des frais liés aux travaux de terrassement et au déplacement ou à l’acquisition de nouvelles colonnes, sera intégralement à la charge de la Commune demandeuse et sous réserve de la validation technique du nouveau point par les services du SIDEL</w:t>
      </w:r>
      <w:r w:rsidR="00F91446">
        <w:rPr>
          <w:sz w:val="20"/>
          <w:szCs w:val="20"/>
        </w:rPr>
        <w:t>,</w:t>
      </w:r>
    </w:p>
    <w:p w14:paraId="7BF53182" w14:textId="0B802D8D" w:rsid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CONSID</w:t>
      </w:r>
      <w:r w:rsidR="00F91446">
        <w:rPr>
          <w:sz w:val="20"/>
          <w:szCs w:val="20"/>
        </w:rPr>
        <w:t>É</w:t>
      </w:r>
      <w:r w:rsidRPr="00215CA5">
        <w:rPr>
          <w:sz w:val="20"/>
          <w:szCs w:val="20"/>
        </w:rPr>
        <w:t xml:space="preserve">RANT que </w:t>
      </w:r>
      <w:r w:rsidR="00F91446">
        <w:rPr>
          <w:sz w:val="20"/>
          <w:szCs w:val="20"/>
        </w:rPr>
        <w:t>l</w:t>
      </w:r>
      <w:r w:rsidRPr="00215CA5">
        <w:rPr>
          <w:sz w:val="20"/>
          <w:szCs w:val="20"/>
        </w:rPr>
        <w:t>a Commune aura en charge d’aménager l’accessibilité, la sécurité et l’intégration paysagère des points de collecte.</w:t>
      </w:r>
    </w:p>
    <w:p w14:paraId="42DEAD33" w14:textId="39E54542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b/>
          <w:bCs/>
          <w:sz w:val="20"/>
          <w:szCs w:val="20"/>
        </w:rPr>
        <w:t xml:space="preserve">Après en avoir délibéré, </w:t>
      </w:r>
      <w:r w:rsidR="00F91446">
        <w:rPr>
          <w:b/>
          <w:bCs/>
          <w:sz w:val="20"/>
          <w:szCs w:val="20"/>
        </w:rPr>
        <w:t>l</w:t>
      </w:r>
      <w:r w:rsidRPr="00215CA5">
        <w:rPr>
          <w:b/>
          <w:bCs/>
          <w:sz w:val="20"/>
          <w:szCs w:val="20"/>
        </w:rPr>
        <w:t>e Conseil Municipal (Nombre de voix) :</w:t>
      </w:r>
    </w:p>
    <w:p w14:paraId="7750B17D" w14:textId="2A6A967C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 -  Valide l</w:t>
      </w:r>
      <w:r w:rsidR="0023044E">
        <w:rPr>
          <w:sz w:val="20"/>
          <w:szCs w:val="20"/>
        </w:rPr>
        <w:t>’</w:t>
      </w:r>
      <w:r w:rsidRPr="00215CA5">
        <w:rPr>
          <w:sz w:val="20"/>
          <w:szCs w:val="20"/>
        </w:rPr>
        <w:t>emplacement</w:t>
      </w:r>
      <w:r w:rsidR="0023044E">
        <w:rPr>
          <w:sz w:val="20"/>
          <w:szCs w:val="20"/>
        </w:rPr>
        <w:t xml:space="preserve"> d</w:t>
      </w:r>
      <w:r w:rsidR="00D87D37">
        <w:rPr>
          <w:sz w:val="20"/>
          <w:szCs w:val="20"/>
        </w:rPr>
        <w:t>es</w:t>
      </w:r>
      <w:r w:rsidR="0023044E">
        <w:rPr>
          <w:sz w:val="20"/>
          <w:szCs w:val="20"/>
        </w:rPr>
        <w:t xml:space="preserve"> point</w:t>
      </w:r>
      <w:r w:rsidR="00D87D37">
        <w:rPr>
          <w:sz w:val="20"/>
          <w:szCs w:val="20"/>
        </w:rPr>
        <w:t>s</w:t>
      </w:r>
      <w:r w:rsidR="0023044E">
        <w:rPr>
          <w:sz w:val="20"/>
          <w:szCs w:val="20"/>
        </w:rPr>
        <w:t xml:space="preserve"> de TRI proposé</w:t>
      </w:r>
      <w:r w:rsidR="00D87D37">
        <w:rPr>
          <w:sz w:val="20"/>
          <w:szCs w:val="20"/>
        </w:rPr>
        <w:t>s</w:t>
      </w:r>
      <w:r w:rsidR="00F91446">
        <w:rPr>
          <w:sz w:val="20"/>
          <w:szCs w:val="20"/>
        </w:rPr>
        <w:t xml:space="preserve"> (</w:t>
      </w:r>
      <w:r w:rsidR="00F91446" w:rsidRPr="00DF40C7">
        <w:rPr>
          <w:i/>
          <w:iCs/>
          <w:sz w:val="20"/>
          <w:szCs w:val="20"/>
        </w:rPr>
        <w:t>indiquer l</w:t>
      </w:r>
      <w:r w:rsidR="0023044E">
        <w:rPr>
          <w:i/>
          <w:iCs/>
          <w:sz w:val="20"/>
          <w:szCs w:val="20"/>
        </w:rPr>
        <w:t>e</w:t>
      </w:r>
      <w:r w:rsidR="00D87D37">
        <w:rPr>
          <w:i/>
          <w:iCs/>
          <w:sz w:val="20"/>
          <w:szCs w:val="20"/>
        </w:rPr>
        <w:t>s</w:t>
      </w:r>
      <w:r w:rsidR="00F91446" w:rsidRPr="00DF40C7">
        <w:rPr>
          <w:i/>
          <w:iCs/>
          <w:sz w:val="20"/>
          <w:szCs w:val="20"/>
        </w:rPr>
        <w:t xml:space="preserve"> numéro</w:t>
      </w:r>
      <w:r w:rsidR="00D87D37">
        <w:rPr>
          <w:i/>
          <w:iCs/>
          <w:sz w:val="20"/>
          <w:szCs w:val="20"/>
        </w:rPr>
        <w:t>s</w:t>
      </w:r>
      <w:r w:rsidR="0023044E">
        <w:rPr>
          <w:i/>
          <w:iCs/>
          <w:sz w:val="20"/>
          <w:szCs w:val="20"/>
        </w:rPr>
        <w:t xml:space="preserve"> d</w:t>
      </w:r>
      <w:r w:rsidR="00D87D37">
        <w:rPr>
          <w:i/>
          <w:iCs/>
          <w:sz w:val="20"/>
          <w:szCs w:val="20"/>
        </w:rPr>
        <w:t>es</w:t>
      </w:r>
      <w:r w:rsidR="0023044E">
        <w:rPr>
          <w:i/>
          <w:iCs/>
          <w:sz w:val="20"/>
          <w:szCs w:val="20"/>
        </w:rPr>
        <w:t xml:space="preserve"> point</w:t>
      </w:r>
      <w:r w:rsidR="00D87D37">
        <w:rPr>
          <w:i/>
          <w:iCs/>
          <w:sz w:val="20"/>
          <w:szCs w:val="20"/>
        </w:rPr>
        <w:t>s</w:t>
      </w:r>
      <w:r w:rsidR="0023044E">
        <w:rPr>
          <w:i/>
          <w:iCs/>
          <w:sz w:val="20"/>
          <w:szCs w:val="20"/>
        </w:rPr>
        <w:t xml:space="preserve"> de TRI)</w:t>
      </w:r>
      <w:r w:rsidRPr="00215CA5">
        <w:rPr>
          <w:sz w:val="20"/>
          <w:szCs w:val="20"/>
        </w:rPr>
        <w:t>,</w:t>
      </w:r>
    </w:p>
    <w:p w14:paraId="6DB5F906" w14:textId="0C6DC2D2" w:rsidR="00215CA5" w:rsidRPr="00215CA5" w:rsidRDefault="00215CA5" w:rsidP="00215CA5">
      <w:pPr>
        <w:jc w:val="both"/>
        <w:rPr>
          <w:sz w:val="20"/>
          <w:szCs w:val="20"/>
        </w:rPr>
      </w:pPr>
      <w:r w:rsidRPr="00215CA5">
        <w:rPr>
          <w:sz w:val="20"/>
          <w:szCs w:val="20"/>
        </w:rPr>
        <w:t>-  S’engage à maintenir la localisation d</w:t>
      </w:r>
      <w:r w:rsidR="00D87D37">
        <w:rPr>
          <w:sz w:val="20"/>
          <w:szCs w:val="20"/>
        </w:rPr>
        <w:t>es</w:t>
      </w:r>
      <w:r w:rsidR="0023044E">
        <w:rPr>
          <w:sz w:val="20"/>
          <w:szCs w:val="20"/>
        </w:rPr>
        <w:t xml:space="preserve"> point</w:t>
      </w:r>
      <w:r w:rsidR="00D87D37">
        <w:rPr>
          <w:sz w:val="20"/>
          <w:szCs w:val="20"/>
        </w:rPr>
        <w:t>s</w:t>
      </w:r>
      <w:r w:rsidR="0023044E">
        <w:rPr>
          <w:sz w:val="20"/>
          <w:szCs w:val="20"/>
        </w:rPr>
        <w:t xml:space="preserve"> de TRI </w:t>
      </w:r>
      <w:r w:rsidRPr="00215CA5">
        <w:rPr>
          <w:sz w:val="20"/>
          <w:szCs w:val="20"/>
        </w:rPr>
        <w:t>validé</w:t>
      </w:r>
      <w:r w:rsidR="00D87D37">
        <w:rPr>
          <w:sz w:val="20"/>
          <w:szCs w:val="20"/>
        </w:rPr>
        <w:t>s</w:t>
      </w:r>
      <w:r w:rsidRPr="00215CA5">
        <w:rPr>
          <w:sz w:val="20"/>
          <w:szCs w:val="20"/>
        </w:rPr>
        <w:t xml:space="preserve">, </w:t>
      </w:r>
    </w:p>
    <w:p w14:paraId="5BD34A49" w14:textId="4C9E8A9F" w:rsidR="00F64E03" w:rsidRDefault="00215CA5" w:rsidP="00215CA5">
      <w:pPr>
        <w:jc w:val="both"/>
      </w:pPr>
      <w:r w:rsidRPr="00215CA5">
        <w:rPr>
          <w:sz w:val="20"/>
          <w:szCs w:val="20"/>
        </w:rPr>
        <w:t>-  S’engage à aménager</w:t>
      </w:r>
      <w:r w:rsidR="00F91446">
        <w:rPr>
          <w:sz w:val="20"/>
          <w:szCs w:val="20"/>
        </w:rPr>
        <w:t xml:space="preserve"> à ses frais</w:t>
      </w:r>
      <w:r w:rsidRPr="00215CA5">
        <w:rPr>
          <w:sz w:val="20"/>
          <w:szCs w:val="20"/>
        </w:rPr>
        <w:t xml:space="preserve"> l’accessibilité, la sécurité et l’intégration paysagère d</w:t>
      </w:r>
      <w:r w:rsidR="00D87D37">
        <w:rPr>
          <w:sz w:val="20"/>
          <w:szCs w:val="20"/>
        </w:rPr>
        <w:t>es</w:t>
      </w:r>
      <w:r w:rsidRPr="00215CA5">
        <w:rPr>
          <w:sz w:val="20"/>
          <w:szCs w:val="20"/>
        </w:rPr>
        <w:t xml:space="preserve"> point</w:t>
      </w:r>
      <w:r w:rsidR="00D87D37">
        <w:rPr>
          <w:sz w:val="20"/>
          <w:szCs w:val="20"/>
        </w:rPr>
        <w:t>s</w:t>
      </w:r>
      <w:r w:rsidRPr="00215CA5">
        <w:rPr>
          <w:sz w:val="20"/>
          <w:szCs w:val="20"/>
        </w:rPr>
        <w:t xml:space="preserve"> </w:t>
      </w:r>
      <w:r w:rsidR="0023044E">
        <w:rPr>
          <w:sz w:val="20"/>
          <w:szCs w:val="20"/>
        </w:rPr>
        <w:t>de TRI</w:t>
      </w:r>
      <w:r w:rsidRPr="00215CA5">
        <w:rPr>
          <w:sz w:val="20"/>
          <w:szCs w:val="20"/>
        </w:rPr>
        <w:t xml:space="preserve"> de déchets ménagers</w:t>
      </w:r>
      <w:r w:rsidR="0023044E">
        <w:rPr>
          <w:sz w:val="20"/>
          <w:szCs w:val="20"/>
        </w:rPr>
        <w:t>.</w:t>
      </w:r>
    </w:p>
    <w:sectPr w:rsidR="00F64E03" w:rsidSect="00D87D37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922D" w14:textId="77777777" w:rsidR="009D284F" w:rsidRDefault="009D284F" w:rsidP="00215CA5">
      <w:pPr>
        <w:spacing w:after="0" w:line="240" w:lineRule="auto"/>
      </w:pPr>
      <w:r>
        <w:separator/>
      </w:r>
    </w:p>
  </w:endnote>
  <w:endnote w:type="continuationSeparator" w:id="0">
    <w:p w14:paraId="0EC9597E" w14:textId="77777777" w:rsidR="009D284F" w:rsidRDefault="009D284F" w:rsidP="00215CA5">
      <w:pPr>
        <w:spacing w:after="0" w:line="240" w:lineRule="auto"/>
      </w:pPr>
      <w:r>
        <w:continuationSeparator/>
      </w:r>
    </w:p>
  </w:endnote>
  <w:endnote w:id="1">
    <w:p w14:paraId="329D3DF6" w14:textId="1C13C653" w:rsidR="00215CA5" w:rsidRPr="0023044E" w:rsidRDefault="00215CA5" w:rsidP="00215CA5">
      <w:pPr>
        <w:pStyle w:val="Notedefin"/>
        <w:rPr>
          <w:sz w:val="16"/>
          <w:szCs w:val="16"/>
        </w:rPr>
      </w:pPr>
      <w:r w:rsidRPr="0023044E">
        <w:rPr>
          <w:rStyle w:val="Appeldenotedefin"/>
          <w:sz w:val="16"/>
          <w:szCs w:val="16"/>
        </w:rPr>
        <w:endnoteRef/>
      </w:r>
      <w:r w:rsidRPr="0023044E">
        <w:rPr>
          <w:sz w:val="16"/>
          <w:szCs w:val="16"/>
        </w:rPr>
        <w:t xml:space="preserve"> La force majeure est un événement qui remplit les 3 caractéristiques suivantes :</w:t>
      </w:r>
    </w:p>
    <w:p w14:paraId="555ECD79" w14:textId="77777777" w:rsidR="00215CA5" w:rsidRPr="0023044E" w:rsidRDefault="00215CA5" w:rsidP="00215CA5">
      <w:pPr>
        <w:pStyle w:val="Notedefin"/>
        <w:numPr>
          <w:ilvl w:val="0"/>
          <w:numId w:val="3"/>
        </w:numPr>
        <w:rPr>
          <w:sz w:val="16"/>
          <w:szCs w:val="16"/>
        </w:rPr>
      </w:pPr>
      <w:r w:rsidRPr="0023044E">
        <w:rPr>
          <w:sz w:val="16"/>
          <w:szCs w:val="16"/>
        </w:rPr>
        <w:t xml:space="preserve">Il est </w:t>
      </w:r>
      <w:r w:rsidRPr="0023044E">
        <w:rPr>
          <w:b/>
          <w:bCs/>
          <w:sz w:val="16"/>
          <w:szCs w:val="16"/>
        </w:rPr>
        <w:t>imprévisible</w:t>
      </w:r>
    </w:p>
    <w:p w14:paraId="30FD8342" w14:textId="77777777" w:rsidR="00215CA5" w:rsidRPr="0023044E" w:rsidRDefault="00215CA5" w:rsidP="00215CA5">
      <w:pPr>
        <w:pStyle w:val="Notedefin"/>
        <w:numPr>
          <w:ilvl w:val="0"/>
          <w:numId w:val="3"/>
        </w:numPr>
        <w:rPr>
          <w:sz w:val="16"/>
          <w:szCs w:val="16"/>
        </w:rPr>
      </w:pPr>
      <w:r w:rsidRPr="0023044E">
        <w:rPr>
          <w:sz w:val="16"/>
          <w:szCs w:val="16"/>
        </w:rPr>
        <w:t xml:space="preserve">Il est </w:t>
      </w:r>
      <w:r w:rsidRPr="0023044E">
        <w:rPr>
          <w:b/>
          <w:bCs/>
          <w:sz w:val="16"/>
          <w:szCs w:val="16"/>
        </w:rPr>
        <w:t>irrésistible</w:t>
      </w:r>
      <w:r w:rsidRPr="0023044E">
        <w:rPr>
          <w:sz w:val="16"/>
          <w:szCs w:val="16"/>
        </w:rPr>
        <w:t xml:space="preserve"> (insurmontable)</w:t>
      </w:r>
    </w:p>
    <w:p w14:paraId="08A14ED3" w14:textId="77777777" w:rsidR="00215CA5" w:rsidRPr="0023044E" w:rsidRDefault="00215CA5" w:rsidP="00215CA5">
      <w:pPr>
        <w:pStyle w:val="Notedefin"/>
        <w:numPr>
          <w:ilvl w:val="0"/>
          <w:numId w:val="3"/>
        </w:numPr>
        <w:rPr>
          <w:sz w:val="16"/>
          <w:szCs w:val="16"/>
        </w:rPr>
      </w:pPr>
      <w:r w:rsidRPr="0023044E">
        <w:rPr>
          <w:sz w:val="16"/>
          <w:szCs w:val="16"/>
        </w:rPr>
        <w:t xml:space="preserve">Il </w:t>
      </w:r>
      <w:r w:rsidRPr="0023044E">
        <w:rPr>
          <w:b/>
          <w:bCs/>
          <w:sz w:val="16"/>
          <w:szCs w:val="16"/>
        </w:rPr>
        <w:t>échappe au contrôle des personnes concernées</w:t>
      </w:r>
    </w:p>
    <w:p w14:paraId="74E0A554" w14:textId="4244DF77" w:rsidR="00215CA5" w:rsidRDefault="00215CA5">
      <w:pPr>
        <w:pStyle w:val="Notedefin"/>
      </w:pPr>
      <w:r w:rsidRPr="0023044E">
        <w:rPr>
          <w:sz w:val="16"/>
          <w:szCs w:val="16"/>
        </w:rPr>
        <w:t>Une catastrophe naturelle, un événement climatique exceptionnel sont des cas de force majeure, si ces situations imprévisibles échappent au contrôle des personnes et sont par nature inévitables.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65A1" w14:textId="77777777" w:rsidR="009D284F" w:rsidRDefault="009D284F" w:rsidP="00215CA5">
      <w:pPr>
        <w:spacing w:after="0" w:line="240" w:lineRule="auto"/>
      </w:pPr>
      <w:r>
        <w:separator/>
      </w:r>
    </w:p>
  </w:footnote>
  <w:footnote w:type="continuationSeparator" w:id="0">
    <w:p w14:paraId="43079CEA" w14:textId="77777777" w:rsidR="009D284F" w:rsidRDefault="009D284F" w:rsidP="0021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4084"/>
    <w:multiLevelType w:val="hybridMultilevel"/>
    <w:tmpl w:val="8272CFC2"/>
    <w:lvl w:ilvl="0" w:tplc="D340F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51CA3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C24CF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A036E0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90C45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209C7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AE61F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4B0B3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E9AE4D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" w15:restartNumberingAfterBreak="0">
    <w:nsid w:val="501C1A01"/>
    <w:multiLevelType w:val="hybridMultilevel"/>
    <w:tmpl w:val="7A908A40"/>
    <w:lvl w:ilvl="0" w:tplc="21700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5A7CA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B9B01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06B6D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1AAF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469AE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32C04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10003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1B0E6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2" w15:restartNumberingAfterBreak="0">
    <w:nsid w:val="6DA21E8C"/>
    <w:multiLevelType w:val="hybridMultilevel"/>
    <w:tmpl w:val="4E48B324"/>
    <w:lvl w:ilvl="0" w:tplc="234ED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A41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264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704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6AD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9AC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C8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F20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100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131896334">
    <w:abstractNumId w:val="1"/>
  </w:num>
  <w:num w:numId="2" w16cid:durableId="37172444">
    <w:abstractNumId w:val="2"/>
  </w:num>
  <w:num w:numId="3" w16cid:durableId="26380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5"/>
    <w:rsid w:val="00215CA5"/>
    <w:rsid w:val="0023044E"/>
    <w:rsid w:val="00295AF6"/>
    <w:rsid w:val="002F287B"/>
    <w:rsid w:val="00484DDA"/>
    <w:rsid w:val="005D7315"/>
    <w:rsid w:val="006F5006"/>
    <w:rsid w:val="007C3BAE"/>
    <w:rsid w:val="009A2746"/>
    <w:rsid w:val="009D284F"/>
    <w:rsid w:val="00A66189"/>
    <w:rsid w:val="00AF7DB4"/>
    <w:rsid w:val="00B00108"/>
    <w:rsid w:val="00CE383B"/>
    <w:rsid w:val="00D04D1F"/>
    <w:rsid w:val="00D143FD"/>
    <w:rsid w:val="00D20B6E"/>
    <w:rsid w:val="00D836A2"/>
    <w:rsid w:val="00D87D37"/>
    <w:rsid w:val="00DF40C7"/>
    <w:rsid w:val="00E50B39"/>
    <w:rsid w:val="00F64E03"/>
    <w:rsid w:val="00F91446"/>
    <w:rsid w:val="00FC3961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47E4"/>
  <w15:chartTrackingRefBased/>
  <w15:docId w15:val="{012FC650-7EF0-4170-80E6-1A959016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D1F"/>
    <w:rPr>
      <w:rFonts w:ascii="Montserrat" w:hAnsi="Montserr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CA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215CA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5CA5"/>
    <w:rPr>
      <w:rFonts w:ascii="Montserrat" w:hAnsi="Montserrat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5CA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5C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5CA5"/>
    <w:rPr>
      <w:rFonts w:ascii="Montserrat" w:hAnsi="Montserra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15CA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9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8257-2856-4182-B65C-F5A9E716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 LECTOURE</dc:creator>
  <cp:keywords/>
  <dc:description/>
  <cp:lastModifiedBy>SIDEL SIDEL</cp:lastModifiedBy>
  <cp:revision>2</cp:revision>
  <cp:lastPrinted>2023-10-06T10:09:00Z</cp:lastPrinted>
  <dcterms:created xsi:type="dcterms:W3CDTF">2023-10-11T12:14:00Z</dcterms:created>
  <dcterms:modified xsi:type="dcterms:W3CDTF">2023-10-11T12:14:00Z</dcterms:modified>
</cp:coreProperties>
</file>